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FC" w:rsidRPr="00F429FC" w:rsidRDefault="00F429FC" w:rsidP="00F429FC">
      <w:pPr>
        <w:keepNext/>
        <w:spacing w:before="300" w:after="120" w:line="240" w:lineRule="auto"/>
        <w:ind w:left="-142"/>
        <w:outlineLvl w:val="0"/>
        <w:rPr>
          <w:rFonts w:ascii="Calibri" w:eastAsia="Times New Roman" w:hAnsi="Calibri" w:cs="Times New Roman"/>
          <w:b/>
          <w:i/>
          <w:sz w:val="24"/>
          <w:szCs w:val="24"/>
          <w:lang w:eastAsia="it-IT"/>
        </w:rPr>
      </w:pPr>
      <w:bookmarkStart w:id="0" w:name="_Toc380501889"/>
      <w:bookmarkStart w:id="1" w:name="_Toc381869718"/>
      <w:r w:rsidRPr="00F429FC">
        <w:rPr>
          <w:rFonts w:ascii="Calibri" w:eastAsia="Times New Roman" w:hAnsi="Calibri" w:cs="Times New Roman"/>
          <w:b/>
          <w:i/>
          <w:sz w:val="24"/>
          <w:lang w:eastAsia="it-IT"/>
        </w:rPr>
        <w:t xml:space="preserve">ALLEGATO </w:t>
      </w:r>
      <w:bookmarkEnd w:id="0"/>
      <w:bookmarkEnd w:id="1"/>
      <w:r>
        <w:rPr>
          <w:rFonts w:ascii="Calibri" w:eastAsia="Times New Roman" w:hAnsi="Calibri" w:cs="Times New Roman"/>
          <w:b/>
          <w:i/>
          <w:sz w:val="24"/>
          <w:lang w:eastAsia="it-IT"/>
        </w:rPr>
        <w:t>4</w:t>
      </w:r>
      <w:r w:rsidR="00A956C5">
        <w:rPr>
          <w:rFonts w:ascii="Calibri" w:eastAsia="Times New Roman" w:hAnsi="Calibri" w:cs="Times New Roman"/>
          <w:b/>
          <w:i/>
          <w:sz w:val="24"/>
          <w:lang w:eastAsia="it-IT"/>
        </w:rPr>
        <w:t>8</w:t>
      </w:r>
    </w:p>
    <w:p w:rsidR="00F429FC" w:rsidRPr="00F429FC" w:rsidRDefault="00F429FC" w:rsidP="00F429FC">
      <w:pPr>
        <w:keepNext/>
        <w:spacing w:after="120" w:line="240" w:lineRule="auto"/>
        <w:jc w:val="center"/>
        <w:rPr>
          <w:rFonts w:ascii="Calibri" w:eastAsia="Calibri" w:hAnsi="Calibri" w:cs="Tahoma"/>
          <w:b/>
          <w:i/>
          <w:sz w:val="24"/>
          <w:szCs w:val="24"/>
        </w:rPr>
      </w:pPr>
      <w:r w:rsidRPr="00DC477C">
        <w:rPr>
          <w:rFonts w:ascii="Calibri" w:eastAsia="Calibri" w:hAnsi="Calibri" w:cs="Tahoma"/>
          <w:b/>
          <w:i/>
          <w:sz w:val="24"/>
          <w:szCs w:val="24"/>
        </w:rPr>
        <w:t xml:space="preserve">Elementi di valutazione e </w:t>
      </w:r>
      <w:r w:rsidR="00DC477C" w:rsidRPr="00DC477C">
        <w:rPr>
          <w:rFonts w:ascii="Calibri" w:eastAsia="Calibri" w:hAnsi="Calibri" w:cs="Tahoma"/>
          <w:b/>
          <w:i/>
          <w:sz w:val="24"/>
          <w:szCs w:val="24"/>
        </w:rPr>
        <w:t>relativi criteri motivazionali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50"/>
        <w:gridCol w:w="4820"/>
        <w:gridCol w:w="964"/>
        <w:gridCol w:w="855"/>
        <w:gridCol w:w="1441"/>
      </w:tblGrid>
      <w:tr w:rsidR="00F429FC" w:rsidRPr="00F429FC" w:rsidTr="00ED1D38">
        <w:trPr>
          <w:cantSplit/>
          <w:trHeight w:hRule="exact" w:val="282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bCs/>
                <w:lang w:eastAsia="it-IT"/>
              </w:rPr>
              <w:t>criterio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bCs/>
                <w:lang w:eastAsia="it-IT"/>
              </w:rPr>
              <w:t>Nr sub criterio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bCs/>
                <w:lang w:eastAsia="it-IT"/>
              </w:rPr>
              <w:t>Descrizione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F429FC">
              <w:rPr>
                <w:rFonts w:ascii="Calibri" w:eastAsia="Times New Roman" w:hAnsi="Calibri" w:cs="Times New Roman"/>
                <w:b/>
                <w:bCs/>
                <w:lang w:eastAsia="it-IT"/>
              </w:rPr>
              <w:t>Valore sub criterio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F429FC">
              <w:rPr>
                <w:rFonts w:ascii="Calibri" w:eastAsia="Times New Roman" w:hAnsi="Calibri" w:cs="Times New Roman"/>
                <w:b/>
                <w:bCs/>
                <w:lang w:eastAsia="it-IT"/>
              </w:rPr>
              <w:t>Valore criterio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9FC" w:rsidRPr="00F429FC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</w:p>
          <w:p w:rsidR="00F429FC" w:rsidRPr="00F429FC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F429FC">
              <w:rPr>
                <w:rFonts w:ascii="Calibri" w:eastAsia="Times New Roman" w:hAnsi="Calibri" w:cs="Times New Roman"/>
                <w:b/>
                <w:bCs/>
                <w:lang w:eastAsia="it-IT"/>
              </w:rPr>
              <w:t>Tipologia</w:t>
            </w:r>
          </w:p>
          <w:p w:rsidR="00F429FC" w:rsidRPr="00F429FC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F429FC">
              <w:rPr>
                <w:rFonts w:ascii="Calibri" w:eastAsia="Times New Roman" w:hAnsi="Calibri" w:cs="Times New Roman"/>
                <w:b/>
                <w:bCs/>
                <w:lang w:eastAsia="it-IT"/>
              </w:rPr>
              <w:t>Criterio</w:t>
            </w:r>
          </w:p>
          <w:p w:rsidR="00F429FC" w:rsidRPr="00F429FC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F429FC">
              <w:rPr>
                <w:rFonts w:ascii="Calibri" w:eastAsia="Times New Roman" w:hAnsi="Calibri" w:cs="Times New Roman"/>
                <w:b/>
                <w:bCs/>
                <w:lang w:eastAsia="it-IT"/>
              </w:rPr>
              <w:t>Qualitativo (QL)</w:t>
            </w:r>
          </w:p>
          <w:p w:rsidR="00F429FC" w:rsidRPr="00F429FC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F429FC">
              <w:rPr>
                <w:rFonts w:ascii="Calibri" w:eastAsia="Times New Roman" w:hAnsi="Calibri" w:cs="Times New Roman"/>
                <w:b/>
                <w:bCs/>
                <w:lang w:eastAsia="it-IT"/>
              </w:rPr>
              <w:t>Quantitativo</w:t>
            </w:r>
          </w:p>
          <w:p w:rsidR="00F429FC" w:rsidRPr="00F429FC" w:rsidRDefault="00F429FC" w:rsidP="00F429FC">
            <w:pPr>
              <w:keepNext/>
              <w:keepLines/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it-IT"/>
              </w:rPr>
            </w:pPr>
            <w:r w:rsidRPr="00F429FC">
              <w:rPr>
                <w:rFonts w:ascii="Calibri" w:eastAsia="Times New Roman" w:hAnsi="Calibri" w:cs="Times New Roman"/>
                <w:b/>
                <w:bCs/>
                <w:lang w:eastAsia="it-IT"/>
              </w:rPr>
              <w:t>(QN)</w:t>
            </w:r>
          </w:p>
        </w:tc>
      </w:tr>
      <w:tr w:rsidR="00F429FC" w:rsidRPr="00F429FC" w:rsidTr="00F429FC">
        <w:trPr>
          <w:cantSplit/>
          <w:trHeight w:hRule="exact" w:val="780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  <w:t>A</w:t>
            </w:r>
          </w:p>
        </w:tc>
        <w:tc>
          <w:tcPr>
            <w:tcW w:w="6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eastAsia="Times New Roman" w:cstheme="minorHAnsi"/>
                <w:b/>
                <w:i/>
                <w:sz w:val="24"/>
                <w:szCs w:val="24"/>
                <w:lang w:eastAsia="it-IT"/>
              </w:rPr>
            </w:pPr>
            <w:r w:rsidRPr="00A9483A">
              <w:rPr>
                <w:rFonts w:cstheme="minorHAnsi"/>
                <w:b/>
                <w:sz w:val="24"/>
                <w:szCs w:val="24"/>
              </w:rPr>
              <w:t>Sistema organizzativo per lo svolgimento del servizio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9FC" w:rsidRPr="00F429FC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</w:tr>
      <w:tr w:rsidR="00F429FC" w:rsidRPr="00F429FC" w:rsidTr="00FC749D">
        <w:trPr>
          <w:cantSplit/>
          <w:trHeight w:hRule="exact" w:val="4236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375F3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Formazione del personale, metodologie di addestramento, eventuale presenza di un coordinatore-referente in loco per ogni singolo lotto</w:t>
            </w:r>
          </w:p>
          <w:p w:rsidR="00F429FC" w:rsidRPr="00A9483A" w:rsidRDefault="00F429FC" w:rsidP="00375F36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</w:t>
            </w:r>
            <w:r w:rsidR="00375F3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soluzione che prevede </w:t>
            </w:r>
            <w:r w:rsidR="00FC749D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="00FC749D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</w:t>
            </w:r>
            <w:r w:rsidR="00375F3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una migliore descrizione delle metodologie di addestramento ed una maggiore attenzione alla formazione del personale oltre che l’impegno </w:t>
            </w:r>
            <w:r w:rsidR="00FC749D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dell’operatore economico </w:t>
            </w:r>
            <w:r w:rsidR="00375F3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ad assicurare </w:t>
            </w:r>
            <w:r w:rsidR="00364700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l</w:t>
            </w:r>
            <w:bookmarkStart w:id="2" w:name="_GoBack"/>
            <w:bookmarkEnd w:id="2"/>
            <w:r w:rsidR="00375F3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a presenza di un coordinatore-referente in loco per ogni singolo lotto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FC749D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 punti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375F3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Max</w:t>
            </w:r>
            <w:proofErr w:type="spellEnd"/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 4 punti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FC749D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F429FC" w:rsidRPr="00F429FC" w:rsidTr="00DC477C">
        <w:trPr>
          <w:cantSplit/>
          <w:trHeight w:hRule="exact" w:val="2936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DC477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Modalità e tempi di sostituzione degli addetti assenti</w:t>
            </w:r>
          </w:p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="00DC477C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Verrà considerata migliore la soluzione che prevede </w:t>
            </w:r>
            <w:r w:rsidR="00DC477C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="00DC477C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una migliore descrizione delle modalità e della tempistica che verranno adottate ai fini della sostituzione degli addetti assenti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DC477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1 punto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DC477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EA070A" w:rsidRPr="00F429FC" w:rsidTr="00EA070A">
        <w:trPr>
          <w:cantSplit/>
          <w:trHeight w:val="3400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0A" w:rsidRPr="00A9483A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0A" w:rsidRPr="00A9483A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1.3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0A" w:rsidRPr="00A9483A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Soluzioni per la gestione delle emergenze connesse alle indisponibilità di materiali/prodotti/attrezzature</w:t>
            </w:r>
          </w:p>
          <w:p w:rsidR="00EA070A" w:rsidRPr="00A9483A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Verrà considerata migliore la soluzione che prevede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una migliore descrizione delle modalità e delle procedure da adottare per far fronte alle emergenze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0A" w:rsidRPr="00F429FC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1 punto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A070A" w:rsidRPr="00F429FC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0A" w:rsidRPr="00F429FC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F429FC" w:rsidRPr="00F429FC" w:rsidTr="00ED1D38">
        <w:trPr>
          <w:cantSplit/>
          <w:trHeight w:hRule="exact" w:val="735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EA070A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  <w:lastRenderedPageBreak/>
              <w:t>B</w:t>
            </w:r>
          </w:p>
        </w:tc>
        <w:tc>
          <w:tcPr>
            <w:tcW w:w="6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EA070A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Metodologie tecnico-operative per lo svolgimento ed il controllo dei servizi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</w:tr>
      <w:tr w:rsidR="00F429FC" w:rsidRPr="00F429FC" w:rsidTr="00943918">
        <w:trPr>
          <w:cantSplit/>
          <w:trHeight w:hRule="exact" w:val="6082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9FC" w:rsidRPr="00A9483A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Piano operativo per l’esecuzione del servizio con descrizione delle metodologie di intervento da adottare in relazione alla specificità degli edifici ricompresi nei singoli lotti e dei singoli ambienti di ogni edificio</w:t>
            </w:r>
          </w:p>
          <w:p w:rsidR="00F429FC" w:rsidRPr="00A9483A" w:rsidRDefault="00EA070A" w:rsidP="00943918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Criteri motivazionali per l’attribuzione del punteggio: Verrà considerata migliore la soluzione che prevede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una migliore descrizione del piano operativo che si intende utilizzare e delle metodologie di intervento che si intendono adottare in relazione alla specificità degli edifici ricompresi nei singoli lotti e dei s</w:t>
            </w:r>
            <w:r w:rsidR="00943918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ingoli ambienti di ogni edificio. Si terrà conto anche dei sistemi di dosaggio e delle tecniche di pulizia (es. uso di prodotti riutilizzabili in tessuto di microfibra) che il concorrente si impegna ad adottare e delle procedure finalizzate a garantire il minor consumo di sostanze chimiche.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 w:rsidRPr="00EA070A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5 punti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Max</w:t>
            </w:r>
            <w:proofErr w:type="spellEnd"/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 10 punti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EA070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F429FC" w:rsidRPr="00F429FC" w:rsidTr="00943918">
        <w:trPr>
          <w:cantSplit/>
          <w:trHeight w:hRule="exact" w:val="4951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9FC" w:rsidRPr="00A9483A" w:rsidRDefault="00433289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Metodologie per la raccolta differenziata con descrizione delle metodologie da adottare ai fini della raccolta differenziata dei rifiuti secondo quanto in vigore sul territorio dell’Ente</w:t>
            </w:r>
          </w:p>
          <w:p w:rsidR="00F429FC" w:rsidRPr="00A9483A" w:rsidRDefault="00F429FC" w:rsidP="00943918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="00433289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Verrà considerata migliore la soluzione che prevede </w:t>
            </w:r>
            <w:r w:rsidR="00433289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="00433289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una migliore descrizione delle metodologie che si intendono adottare e sviluppare in tema di raccolta differenziata dei rifiuti secondo quanto i</w:t>
            </w:r>
            <w:r w:rsidR="00943918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n vigore sul territorio comunale. Si terrà conto anche delle eventuali azioni che verranno poste in essere dal concorrente  per la</w:t>
            </w:r>
            <w:r w:rsidR="00BC2592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riduzione dei rifiuti e delle </w:t>
            </w:r>
            <w:r w:rsidR="00943918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altre soluzioni finalizzate a minimizzare gli impatti ambientali del servizio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433289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 w:rsidRPr="00433289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 punti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433289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F429FC" w:rsidRPr="00F429FC" w:rsidTr="00433289">
        <w:trPr>
          <w:cantSplit/>
          <w:trHeight w:hRule="exact" w:val="4824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2.3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289" w:rsidRPr="00A9483A" w:rsidRDefault="00433289" w:rsidP="0043328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Sistema di verifica e controllo delle attività:</w:t>
            </w:r>
          </w:p>
          <w:p w:rsidR="00433289" w:rsidRPr="00A9483A" w:rsidRDefault="00433289" w:rsidP="00433289">
            <w:pPr>
              <w:numPr>
                <w:ilvl w:val="0"/>
                <w:numId w:val="2"/>
              </w:numPr>
              <w:spacing w:after="120" w:line="240" w:lineRule="auto"/>
              <w:ind w:left="497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metodologia;</w:t>
            </w:r>
          </w:p>
          <w:p w:rsidR="00433289" w:rsidRPr="00A9483A" w:rsidRDefault="00433289" w:rsidP="00433289">
            <w:pPr>
              <w:numPr>
                <w:ilvl w:val="0"/>
                <w:numId w:val="2"/>
              </w:numPr>
              <w:spacing w:after="120" w:line="240" w:lineRule="auto"/>
              <w:ind w:left="497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frequenza;</w:t>
            </w:r>
          </w:p>
          <w:p w:rsidR="00F429FC" w:rsidRPr="00A9483A" w:rsidRDefault="00433289" w:rsidP="00433289">
            <w:pPr>
              <w:numPr>
                <w:ilvl w:val="0"/>
                <w:numId w:val="2"/>
              </w:numPr>
              <w:spacing w:after="120" w:line="240" w:lineRule="auto"/>
              <w:ind w:left="497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raccolta, gestione dei dati e reportistica</w:t>
            </w:r>
          </w:p>
          <w:p w:rsidR="00433289" w:rsidRPr="00A9483A" w:rsidRDefault="00433289" w:rsidP="00BA5ED6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Verrà considerata migliore la soluzione che prevede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una migliore descrizione delle metodologie che si intendono adottare ai fini di una maggiore verifica e di un maggiore controllo delle attività, una maggiore  frequenza delle eventuali ispezioni ed una </w:t>
            </w:r>
            <w:r w:rsidR="00BA5ED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più soddisfacente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metodologia per la raccolta e gestione dei dati e per la reportistica</w:t>
            </w: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BA5ED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BA5ED6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 punti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BA5ED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BA5ED6" w:rsidRPr="00F429FC" w:rsidTr="0003505A">
        <w:trPr>
          <w:cantSplit/>
          <w:trHeight w:val="2963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ED6" w:rsidRPr="00A9483A" w:rsidRDefault="00BA5ED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ED6" w:rsidRPr="00A9483A" w:rsidRDefault="00BA5ED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2.4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5ED6" w:rsidRPr="00A9483A" w:rsidRDefault="00BA5ED6" w:rsidP="00433289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Soluzioni per la realizzazione di un sistema di </w:t>
            </w:r>
            <w:proofErr w:type="spellStart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customer</w:t>
            </w:r>
            <w:proofErr w:type="spellEnd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satisfaction</w:t>
            </w:r>
            <w:proofErr w:type="spellEnd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sui servizi svolti in termini di monitoraggio, valutazione del gradimento e fruibilità</w:t>
            </w:r>
          </w:p>
          <w:p w:rsidR="00BA5ED6" w:rsidRPr="00A9483A" w:rsidRDefault="00BA5ED6" w:rsidP="00BA5ED6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Verrà considerata migliore la soluzione che prevede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il miglior sistema di </w:t>
            </w:r>
            <w:proofErr w:type="spellStart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customer</w:t>
            </w:r>
            <w:proofErr w:type="spellEnd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satisfaction</w:t>
            </w:r>
            <w:proofErr w:type="spellEnd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che si intende adottare presso i vari edifici comunali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ED6" w:rsidRPr="00F429FC" w:rsidRDefault="00BA5ED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 w:rsidRPr="00BA5ED6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1 punto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5ED6" w:rsidRPr="00F429FC" w:rsidRDefault="00BA5ED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ED6" w:rsidRPr="00F429FC" w:rsidRDefault="00BA5ED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F429FC" w:rsidRPr="00F429FC" w:rsidTr="00ED1D38">
        <w:trPr>
          <w:cantSplit/>
          <w:trHeight w:hRule="exact" w:val="424"/>
        </w:trPr>
        <w:tc>
          <w:tcPr>
            <w:tcW w:w="9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8F0526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  <w:t>C</w:t>
            </w:r>
          </w:p>
        </w:tc>
        <w:tc>
          <w:tcPr>
            <w:tcW w:w="6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8F0526" w:rsidP="008F0526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Personale ed ore lavorative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  <w:tr w:rsidR="00F429FC" w:rsidRPr="00F429FC" w:rsidTr="0003505A">
        <w:trPr>
          <w:cantSplit/>
          <w:trHeight w:hRule="exact" w:val="5202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526" w:rsidRPr="00A9483A" w:rsidRDefault="008F052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Numero e qualifica dei dipendenti che si intendono adibire al servizio per ciascun intervento (giornaliero/ordinario, settimanale, mensile, ecc.), con riferimento ad ogni singolo immobile oggetto dell’appalto</w:t>
            </w:r>
          </w:p>
          <w:p w:rsidR="005E232F" w:rsidRPr="00A9483A" w:rsidRDefault="00F429FC" w:rsidP="00943918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="008F0526"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 </w:t>
            </w:r>
            <w:r w:rsidR="008F052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soluzione che prevede </w:t>
            </w:r>
            <w:r w:rsidR="008F0526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compilazione delle schede allegate ai numeri da 2</w:t>
            </w:r>
            <w:r w:rsidR="00943918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7</w:t>
            </w:r>
            <w:r w:rsidR="008F0526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 a </w:t>
            </w:r>
            <w:r w:rsidR="00943918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41</w:t>
            </w:r>
            <w:r w:rsidR="008F052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</w:t>
            </w:r>
            <w:r w:rsidR="00D76F41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un</w:t>
            </w:r>
            <w:r w:rsidR="005E232F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numero di addetti da adibire all’espletamento di ciascun intervento presso i vari edifici oggetto dell’appalto </w:t>
            </w:r>
            <w:r w:rsidR="00D76F41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ed una qualifica degli stessi addetti che possano apparire il più adeguati possibili, nell’ottica di un ottimale espletamento del servizio e tenuto conto dei vari interventi richiesti dall’Amministrazione nei relativi mansionari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D76F41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 w:rsidRPr="00D76F41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4 punti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D76F41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Max</w:t>
            </w:r>
            <w:proofErr w:type="spellEnd"/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 26 punti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D76F41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QN</w:t>
            </w:r>
          </w:p>
        </w:tc>
      </w:tr>
      <w:tr w:rsidR="0003505A" w:rsidRPr="00F429FC" w:rsidTr="0003505A">
        <w:trPr>
          <w:cantSplit/>
          <w:trHeight w:val="5940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5A" w:rsidRPr="00A9483A" w:rsidRDefault="0003505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05A" w:rsidRPr="00A9483A" w:rsidRDefault="0003505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05A" w:rsidRPr="00A9483A" w:rsidRDefault="0003505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Ore lavorative offerte per l’espletamento di ogni intervento ordinario e periodico, in ciascuno degli immobili oggetto dell’appalto</w:t>
            </w:r>
          </w:p>
          <w:p w:rsidR="0003505A" w:rsidRPr="00A9483A" w:rsidRDefault="0003505A" w:rsidP="0003505A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Criteri motivazionali per l’attribuzione del punteggio: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soluzione che prevede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compilazione delle schede allegate ai numeri da 27</w:t>
            </w:r>
            <w:r w:rsidR="0082127D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a </w:t>
            </w:r>
            <w:r w:rsidR="0082127D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41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:</w:t>
            </w:r>
          </w:p>
          <w:p w:rsidR="0003505A" w:rsidRPr="00A9483A" w:rsidRDefault="0003505A" w:rsidP="0003505A">
            <w:pPr>
              <w:numPr>
                <w:ilvl w:val="0"/>
                <w:numId w:val="2"/>
              </w:numPr>
              <w:spacing w:after="120" w:line="240" w:lineRule="auto"/>
              <w:ind w:left="356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il miglior monte ore totale offerto per ogni singolo lotto e la migliore articolazione del monte ore totale tra i diversi edifici ricompresi nel lotto (in considerazione delle prestazioni richieste dai vari mansionari);</w:t>
            </w:r>
          </w:p>
          <w:p w:rsidR="0003505A" w:rsidRPr="00A9483A" w:rsidRDefault="0003505A" w:rsidP="0003505A">
            <w:pPr>
              <w:numPr>
                <w:ilvl w:val="0"/>
                <w:numId w:val="2"/>
              </w:numPr>
              <w:spacing w:after="120" w:line="240" w:lineRule="auto"/>
              <w:ind w:left="356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il maggior numero di ore offerte per l’espletamento delle più importanti prestazioni presso i vari edifici comunali (così come risultanti dai relativi mansionari) e la più adeguata articolazione oraria proposta per le diverse tipologie di interventi nei vari stabili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05A" w:rsidRPr="00F429FC" w:rsidRDefault="0003505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 w:rsidRPr="0003505A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22 punti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505A" w:rsidRPr="00F429FC" w:rsidRDefault="0003505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5A" w:rsidRPr="00F429FC" w:rsidRDefault="0003505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QN</w:t>
            </w:r>
          </w:p>
        </w:tc>
      </w:tr>
      <w:tr w:rsidR="00F429FC" w:rsidRPr="00F429FC" w:rsidTr="00ED1D38">
        <w:trPr>
          <w:cantSplit/>
          <w:trHeight w:hRule="exact" w:val="414"/>
        </w:trPr>
        <w:tc>
          <w:tcPr>
            <w:tcW w:w="9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03505A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  <w:t>D</w:t>
            </w:r>
          </w:p>
        </w:tc>
        <w:tc>
          <w:tcPr>
            <w:tcW w:w="6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03505A" w:rsidP="0003505A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Attrezzature, prodotti e rispetto ambientale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  <w:tr w:rsidR="00F429FC" w:rsidRPr="00F429FC" w:rsidTr="009B79CF">
        <w:trPr>
          <w:cantSplit/>
          <w:trHeight w:hRule="exact" w:val="4548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4.1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153" w:rsidRPr="00A9483A" w:rsidRDefault="00DB1153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Tipologia e numero di attrezzature in aggiunta alle normali attrezzatture di basso “profilo tecnico”</w:t>
            </w:r>
          </w:p>
          <w:p w:rsidR="00F429FC" w:rsidRPr="00A9483A" w:rsidRDefault="00F429FC" w:rsidP="0082127D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="00DB1153"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 </w:t>
            </w:r>
            <w:r w:rsidR="00DB1153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soluzione che prevede </w:t>
            </w:r>
            <w:r w:rsidR="00DB1153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nell’ambito della compilazione delle schede allegate ai numeri da </w:t>
            </w:r>
            <w:r w:rsidR="0082127D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42</w:t>
            </w:r>
            <w:r w:rsidR="00DB1153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 a 4</w:t>
            </w:r>
            <w:r w:rsidR="0082127D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5</w:t>
            </w:r>
            <w:r w:rsidR="00DB1153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il più adeguato numero e la più soddisfacente tipologia di attrezzature da impiegare per l’espletamento</w:t>
            </w:r>
            <w:r w:rsidR="004865B4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,</w:t>
            </w:r>
            <w:r w:rsidR="00DB1153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</w:t>
            </w:r>
            <w:r w:rsidR="004865B4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presso i diversi edifici comunali ricompresi nel singolo lotto, </w:t>
            </w:r>
            <w:r w:rsidR="00DB1153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delle diverse fattispecie di prestazioni </w:t>
            </w:r>
            <w:r w:rsidR="004865B4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richieste dall’Amministrazione Comunale nei vari mansionari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DB1153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DB1153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 punti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DB1153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Max</w:t>
            </w:r>
            <w:proofErr w:type="spellEnd"/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 8 punti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DB1153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 e QN</w:t>
            </w:r>
          </w:p>
        </w:tc>
      </w:tr>
      <w:tr w:rsidR="00F429FC" w:rsidRPr="00F429FC" w:rsidTr="00155BC1">
        <w:trPr>
          <w:cantSplit/>
          <w:trHeight w:hRule="exact" w:val="3398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4.2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DB1153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Metodologia di impiego delle attrezzature e relativi benefici</w:t>
            </w:r>
          </w:p>
          <w:p w:rsidR="00F429FC" w:rsidRPr="00A9483A" w:rsidRDefault="00DB1153" w:rsidP="00155BC1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Verrà considerata migliore la soluzione che prevede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una migliore descrizione dell</w:t>
            </w:r>
            <w:r w:rsidR="00155BC1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a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metodologi</w:t>
            </w:r>
            <w:r w:rsidR="00155BC1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a di impiego delle attrezzature che si intendono impiegare nell’espletamento del servizio in considerazione anche dei benefici che ne potrebbero derivare all’Amministrazione</w:t>
            </w:r>
            <w:r w:rsidR="0082127D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.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155BC1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155BC1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 punti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155BC1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F429FC" w:rsidRPr="00F429FC" w:rsidTr="00A9483A">
        <w:trPr>
          <w:cantSplit/>
          <w:trHeight w:hRule="exact" w:val="10354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4.3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155BC1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Tipologia e numero di prodotti da utilizzare con specificazione dei prodotti con marchio “</w:t>
            </w:r>
            <w:proofErr w:type="spellStart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ecolabel</w:t>
            </w:r>
            <w:proofErr w:type="spellEnd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”</w:t>
            </w:r>
          </w:p>
          <w:p w:rsidR="00AC0217" w:rsidRPr="00A9483A" w:rsidRDefault="00F429FC" w:rsidP="004865B4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="004865B4"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 </w:t>
            </w:r>
            <w:r w:rsidR="004865B4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soluzione che prevede </w:t>
            </w:r>
            <w:r w:rsidR="004865B4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nell’ambito della compilazione delle schede allegate ai numeri da </w:t>
            </w:r>
            <w:r w:rsidR="0082127D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42</w:t>
            </w:r>
            <w:r w:rsidR="004865B4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 a </w:t>
            </w:r>
            <w:r w:rsidR="0082127D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45 e da 46 a 47</w:t>
            </w:r>
          </w:p>
          <w:p w:rsidR="00F429FC" w:rsidRPr="00A9483A" w:rsidRDefault="004865B4" w:rsidP="00AC0217">
            <w:pPr>
              <w:pStyle w:val="Paragrafoelenco"/>
              <w:numPr>
                <w:ilvl w:val="0"/>
                <w:numId w:val="3"/>
              </w:numPr>
              <w:spacing w:after="120" w:line="240" w:lineRule="auto"/>
              <w:ind w:left="356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il più adeguato numero e la più soddisfacente tipologia di prodotti da impiegare, tenuto anche conto della tipologia dei locali ed ambienti e delle </w:t>
            </w:r>
            <w:r w:rsidR="00AC0217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differenti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prestazioni richieste dall’Amministrazione nei relativi mansionari</w:t>
            </w:r>
            <w:r w:rsidR="00AC0217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;</w:t>
            </w:r>
          </w:p>
          <w:p w:rsidR="004865B4" w:rsidRPr="00A9483A" w:rsidRDefault="00AC0217" w:rsidP="00AC0217">
            <w:pPr>
              <w:pStyle w:val="Paragrafoelenco"/>
              <w:numPr>
                <w:ilvl w:val="0"/>
                <w:numId w:val="3"/>
              </w:numPr>
              <w:spacing w:after="120" w:line="240" w:lineRule="auto"/>
              <w:ind w:left="356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Il più elevato numero di prodotti a marchio “</w:t>
            </w:r>
            <w:proofErr w:type="spellStart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ecolabel</w:t>
            </w:r>
            <w:proofErr w:type="spellEnd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” </w:t>
            </w:r>
            <w:r w:rsidR="0082127D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e di prodotti conformi ai criteri ambientali minimi di cui al D.M. </w:t>
            </w:r>
            <w:r w:rsidR="00910613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del 24/052012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che il concorrente si impegna ad utilizzare in caso di aggiudicazione dell’appalto</w:t>
            </w:r>
          </w:p>
          <w:p w:rsidR="00910613" w:rsidRPr="00A9483A" w:rsidRDefault="00910613" w:rsidP="00AC0217">
            <w:pPr>
              <w:pStyle w:val="Paragrafoelenco"/>
              <w:numPr>
                <w:ilvl w:val="0"/>
                <w:numId w:val="3"/>
              </w:numPr>
              <w:spacing w:after="120" w:line="240" w:lineRule="auto"/>
              <w:ind w:left="356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l’utilizzo di prodotti di pulizia conformi ai criteri di assegnazione di etichette ambientali ISO di tipo I (conformi alla norma ISO 14024; indicazione della quota percentuale di prodotti conformi a detta caratteristica rispetto alla gamma dei prodotti di pulizia complessivamente utilizzati per lo svolgimento del servizio).</w:t>
            </w:r>
          </w:p>
          <w:p w:rsidR="0082127D" w:rsidRPr="00A9483A" w:rsidRDefault="0082127D" w:rsidP="00910613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AC021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C0217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 punti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AC021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 w:rsidRPr="00AC0217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 e QN</w:t>
            </w:r>
          </w:p>
        </w:tc>
      </w:tr>
      <w:tr w:rsidR="00AC0217" w:rsidRPr="00F429FC" w:rsidTr="00A9483A">
        <w:trPr>
          <w:cantSplit/>
          <w:trHeight w:val="4943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17" w:rsidRPr="00A9483A" w:rsidRDefault="00AC021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217" w:rsidRPr="00A9483A" w:rsidRDefault="00AC021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4.4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217" w:rsidRPr="00A9483A" w:rsidRDefault="00AC021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Soluzioni e metodologie per il risparmio energetico</w:t>
            </w:r>
          </w:p>
          <w:p w:rsidR="00AC0217" w:rsidRPr="00A9483A" w:rsidRDefault="00AC0217" w:rsidP="00910613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Criteri motivazionali per l’attribuzione del punteggio: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proposta che prevede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le più innovative e soddisfacenti soluzioni/metodologie che possano contribuire </w:t>
            </w:r>
            <w:r w:rsidR="00910613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a minimizzare i consumi energetici e di acqua (ad esempio gli orari nei quali prestare servizio compatibilmente agli orari indicati dai mansionari e indicazioni all’uopo dettate al personale, </w:t>
            </w:r>
            <w:proofErr w:type="spellStart"/>
            <w:r w:rsidR="00910613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etc</w:t>
            </w:r>
            <w:proofErr w:type="spellEnd"/>
            <w:r w:rsidR="00910613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).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0217" w:rsidRPr="00931647" w:rsidRDefault="00AC021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931647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 punti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C0217" w:rsidRPr="00F429FC" w:rsidRDefault="00AC021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17" w:rsidRPr="00F429FC" w:rsidRDefault="00AC021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F429FC" w:rsidRPr="00F429FC" w:rsidTr="00ED1D38">
        <w:trPr>
          <w:cantSplit/>
          <w:trHeight w:hRule="exact" w:val="414"/>
        </w:trPr>
        <w:tc>
          <w:tcPr>
            <w:tcW w:w="9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93164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  <w:lastRenderedPageBreak/>
              <w:t>E</w:t>
            </w:r>
          </w:p>
        </w:tc>
        <w:tc>
          <w:tcPr>
            <w:tcW w:w="6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931647" w:rsidP="00931647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Sicurezza e tipo di macchine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  <w:tr w:rsidR="00F429FC" w:rsidRPr="00F429FC" w:rsidTr="00A9483A">
        <w:trPr>
          <w:cantSplit/>
          <w:trHeight w:hRule="exact" w:val="4973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93164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5.</w:t>
            </w:r>
            <w:r w:rsidR="00F429FC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93164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Tipologia di macchine utilizzate</w:t>
            </w:r>
          </w:p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="009B79CF"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 </w:t>
            </w:r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soluzione che prevede </w:t>
            </w:r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nell’ambito della compilazione delle schede allegate ai numeri da </w:t>
            </w:r>
            <w:r w:rsidR="00A9483A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42</w:t>
            </w:r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 a 4</w:t>
            </w:r>
            <w:r w:rsidR="00A9483A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5</w:t>
            </w:r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la più adeguata tipologia di macchine da impiegare per l’espletamento, presso i diversi edifici comunali ricompresi nel singolo lotto, delle diverse fattispecie di prestazioni richieste dall’Amministrazione Comunale nei vari mansionari</w:t>
            </w:r>
            <w:r w:rsidR="00A9483A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. Si terrà conto anche dei macchinari a basso consumo energetico proposti e degli eventuali impatti che potranno essere risparmiati dall’impiego di uno specifico macchinario se lo stesso ad esempio consente di procrastinare altre operazioni di pulizia.</w:t>
            </w:r>
          </w:p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9B79CF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9B79CF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 punti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297FB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proofErr w:type="spellStart"/>
            <w:r w:rsidRPr="00297FB6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Max</w:t>
            </w:r>
            <w:proofErr w:type="spellEnd"/>
            <w:r w:rsidRPr="00297FB6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 8 punti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9B79CF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F429FC" w:rsidRPr="00F429FC" w:rsidTr="00A9483A">
        <w:trPr>
          <w:cantSplit/>
          <w:trHeight w:hRule="exact" w:val="2550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931647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5</w:t>
            </w:r>
            <w:r w:rsidR="00F429FC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9B79CF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Utilizzo di macchinari “</w:t>
            </w:r>
            <w:proofErr w:type="spellStart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energy</w:t>
            </w:r>
            <w:proofErr w:type="spellEnd"/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star”</w:t>
            </w:r>
          </w:p>
          <w:p w:rsidR="00F429FC" w:rsidRPr="00A9483A" w:rsidRDefault="00F429FC" w:rsidP="00A9483A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="009B79CF"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 </w:t>
            </w:r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soluzione che prevede </w:t>
            </w:r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nell’ambito della compilazione delle schede allegate ai numeri da </w:t>
            </w:r>
            <w:r w:rsidR="00A9483A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42</w:t>
            </w:r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 a 4</w:t>
            </w:r>
            <w:r w:rsidR="00A9483A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5</w:t>
            </w:r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il più elevato numero di macchinari “</w:t>
            </w:r>
            <w:proofErr w:type="spellStart"/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energy</w:t>
            </w:r>
            <w:proofErr w:type="spellEnd"/>
            <w:r w:rsidR="009B79CF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star” che il concorrente si impegna ad utilizzare per l’espletamento delle prestazioni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9B79CF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9B79CF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2 punti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9B79CF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QN</w:t>
            </w:r>
          </w:p>
        </w:tc>
      </w:tr>
      <w:tr w:rsidR="009B79CF" w:rsidRPr="00F429FC" w:rsidTr="00A9483A">
        <w:trPr>
          <w:cantSplit/>
          <w:trHeight w:hRule="exact" w:val="4953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CF" w:rsidRPr="00A9483A" w:rsidRDefault="009B79CF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9CF" w:rsidRPr="00A9483A" w:rsidRDefault="00297FB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5.3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9CF" w:rsidRPr="00A9483A" w:rsidRDefault="009B79CF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Quantità e tipologia di macchine che </w:t>
            </w:r>
            <w:r w:rsidR="00297FB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il concorrente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si impegna a mettere stabilmente a disposizione presso ciascun edificio oggetto dell’appalto al fine dell’assolvimento del servizio ordinario e periodico</w:t>
            </w:r>
          </w:p>
          <w:p w:rsidR="00297FB6" w:rsidRPr="00A9483A" w:rsidRDefault="009B79CF" w:rsidP="00297FB6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Verrà considerata migliore la soluzione che prevede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nell’ambito della compilazione delle schede allegate ai numeri da </w:t>
            </w:r>
            <w:r w:rsidR="00A9483A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42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a </w:t>
            </w:r>
            <w:r w:rsidR="00A9483A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 xml:space="preserve">45 </w:t>
            </w:r>
            <w:r w:rsidR="00297FB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le più adeguate quantità e tipologie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di </w:t>
            </w:r>
            <w:r w:rsidR="00297FB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macchine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</w:t>
            </w:r>
            <w:r w:rsidR="00297FB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che il concorrente si impegna a mettere stabilmente a disposizione presso ciascun edificio, tenendo conto delle prestazioni richieste dall’Amministrazione nei relativi mansionari</w:t>
            </w:r>
            <w:r w:rsidR="00A9483A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e dei locali/vani in cui custodire le stesse</w:t>
            </w:r>
          </w:p>
          <w:p w:rsidR="009B79CF" w:rsidRPr="00A9483A" w:rsidRDefault="009B79CF" w:rsidP="00297FB6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9CF" w:rsidRPr="009B79CF" w:rsidRDefault="00297FB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3</w:t>
            </w:r>
            <w:r w:rsidRPr="00297FB6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 punti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B79CF" w:rsidRPr="00F429FC" w:rsidRDefault="009B79CF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9CF" w:rsidRDefault="00297FB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 w:rsidRPr="00297FB6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 e QN</w:t>
            </w:r>
          </w:p>
        </w:tc>
      </w:tr>
      <w:tr w:rsidR="00F429FC" w:rsidRPr="00F429FC" w:rsidTr="00297FB6">
        <w:trPr>
          <w:cantSplit/>
          <w:trHeight w:hRule="exact" w:val="3834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931647" w:rsidP="00297FB6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5.</w:t>
            </w:r>
            <w:r w:rsidR="00297FB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297FB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Soluzioni e procedure per la gestione degli aspetti inerenti la sicurezza e la salute delle persone sui luoghi di lavoro</w:t>
            </w:r>
          </w:p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Criteri motivazionali per l’attribuzione del punteggio:</w:t>
            </w:r>
            <w:r w:rsidR="00297FB6"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 </w:t>
            </w:r>
            <w:r w:rsidR="00297FB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soluzione che prevede </w:t>
            </w:r>
            <w:r w:rsidR="00297FB6"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="00297FB6"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una migliore descrizione di soluzioni e procedure da adottare per la gestione degli aspetti inerenti la sicurezza e la salute delle persone sui luoghi di lavoro</w:t>
            </w:r>
          </w:p>
          <w:p w:rsidR="00F429FC" w:rsidRPr="00A9483A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F429FC" w:rsidRDefault="00297FB6" w:rsidP="00297FB6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1</w:t>
            </w:r>
            <w:r w:rsidRPr="00297FB6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 punt</w:t>
            </w: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o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29FC" w:rsidRPr="00F429FC" w:rsidRDefault="00F429FC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297FB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  <w:tr w:rsidR="00F429FC" w:rsidRPr="00F429FC" w:rsidTr="00790850">
        <w:trPr>
          <w:cantSplit/>
          <w:trHeight w:hRule="exact" w:val="699"/>
        </w:trPr>
        <w:tc>
          <w:tcPr>
            <w:tcW w:w="9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A9483A" w:rsidRDefault="00297FB6" w:rsidP="00F429FC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eastAsia="it-IT"/>
              </w:rPr>
              <w:t>F</w:t>
            </w:r>
          </w:p>
        </w:tc>
        <w:tc>
          <w:tcPr>
            <w:tcW w:w="6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9FC" w:rsidRPr="00A9483A" w:rsidRDefault="00790850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Proposte migliorative del servizio rispetto a quanto richiesto dal capitolato speciale d’oneri e dai relativi mansionari</w:t>
            </w:r>
          </w:p>
          <w:p w:rsidR="00F429FC" w:rsidRPr="00A9483A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9FC" w:rsidRPr="00F429FC" w:rsidRDefault="00F429FC" w:rsidP="00F429FC">
            <w:pPr>
              <w:keepNext/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  <w:tr w:rsidR="00FF3FF4" w:rsidRPr="00F429FC" w:rsidTr="00676E75">
        <w:trPr>
          <w:cantSplit/>
          <w:trHeight w:val="10051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FF4" w:rsidRPr="00A9483A" w:rsidRDefault="00FF3FF4" w:rsidP="00F429FC">
            <w:pPr>
              <w:spacing w:after="12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3FF4" w:rsidRPr="00A9483A" w:rsidRDefault="00FF3FF4" w:rsidP="00790850">
            <w:pPr>
              <w:spacing w:after="120" w:line="240" w:lineRule="auto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6.1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3FF4" w:rsidRPr="00A9483A" w:rsidRDefault="00FF3FF4" w:rsidP="00790850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>Proposte migliorative del servizio</w:t>
            </w:r>
          </w:p>
          <w:p w:rsidR="00FF3FF4" w:rsidRPr="00A9483A" w:rsidRDefault="00FF3FF4" w:rsidP="00790850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Criteri motivazionali per l’attribuzione del punteggio: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Verrà considerata migliore la soluzione che prevede 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u w:val="single"/>
                <w:lang w:eastAsia="it-IT"/>
              </w:rPr>
              <w:t>nell’ambito della relazione tecnica</w:t>
            </w:r>
            <w:r w:rsidRPr="00A9483A">
              <w:rPr>
                <w:rFonts w:ascii="Calibri" w:eastAsia="Times New Roman" w:hAnsi="Calibri" w:cs="Times New Roman"/>
                <w:i/>
                <w:sz w:val="24"/>
                <w:szCs w:val="24"/>
                <w:lang w:eastAsia="it-IT"/>
              </w:rPr>
              <w:t xml:space="preserve"> presentata le più soddisfacenti e funzionali proposte migliorative relativamente ai singoli lotti per i quali si concorre; a mero titolo esemplificativo si precisa che saranno oggetto di valutazione nell’ambito delle migliorie:</w:t>
            </w:r>
          </w:p>
          <w:p w:rsidR="00FF3FF4" w:rsidRPr="00A9483A" w:rsidRDefault="00FF3FF4" w:rsidP="00FF3FF4">
            <w:pPr>
              <w:pStyle w:val="Paragrafoelenco"/>
              <w:numPr>
                <w:ilvl w:val="0"/>
                <w:numId w:val="4"/>
              </w:numPr>
              <w:spacing w:after="120" w:line="240" w:lineRule="auto"/>
              <w:ind w:left="356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eventuali aumenti di frequenze delle prestazioni (purché ritenute congrue e funzionali);</w:t>
            </w:r>
          </w:p>
          <w:p w:rsidR="00FF3FF4" w:rsidRPr="00A9483A" w:rsidRDefault="00FF3FF4" w:rsidP="00FF3FF4">
            <w:pPr>
              <w:pStyle w:val="Paragrafoelenco"/>
              <w:numPr>
                <w:ilvl w:val="0"/>
                <w:numId w:val="4"/>
              </w:numPr>
              <w:spacing w:after="120" w:line="240" w:lineRule="auto"/>
              <w:ind w:left="356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eventuale gratuità di prodotti e/o forniture (purché dettagliate con riferimento al singolo lotto o ai singoli edifici ricompresi nel lotto);</w:t>
            </w:r>
          </w:p>
          <w:p w:rsidR="00FF3FF4" w:rsidRPr="00A9483A" w:rsidRDefault="00FF3FF4" w:rsidP="00FF3FF4">
            <w:pPr>
              <w:pStyle w:val="Paragrafoelenco"/>
              <w:numPr>
                <w:ilvl w:val="0"/>
                <w:numId w:val="4"/>
              </w:numPr>
              <w:spacing w:after="120" w:line="240" w:lineRule="auto"/>
              <w:ind w:left="356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eventuale disponibilità a subentrare all’Amministrazione Comunale per tutto il periodo di durata dell’appalto nel contratto avente ad oggetto il servizio di noleggio e manutenzione di apparecchi di raccolta del materiale igienico, di sistemi di deodorizzazione e di sistemi igienizzazione dei servizi igienici delle varie sedi comunali (tenuto conto di quanto evidenziato al paragrafo 18.4 del disciplinare di gara);</w:t>
            </w:r>
          </w:p>
          <w:p w:rsidR="00FF3FF4" w:rsidRPr="00A9483A" w:rsidRDefault="00FF3FF4" w:rsidP="00FF3FF4">
            <w:pPr>
              <w:pStyle w:val="Paragrafoelenco"/>
              <w:numPr>
                <w:ilvl w:val="0"/>
                <w:numId w:val="4"/>
              </w:numPr>
              <w:spacing w:after="120" w:line="240" w:lineRule="auto"/>
              <w:ind w:left="356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9483A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ulteriori migliorie (purché valutate come particolarmente significative per l’Amministrazione)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3FF4" w:rsidRPr="00F429FC" w:rsidRDefault="00FF3FF4" w:rsidP="00F429FC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4 </w:t>
            </w:r>
            <w:r w:rsidRPr="00FF3FF4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punti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F3FF4" w:rsidRPr="00F429FC" w:rsidRDefault="00FF3FF4" w:rsidP="00FF3FF4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</w:pPr>
            <w:proofErr w:type="spellStart"/>
            <w:r w:rsidRPr="00FF3FF4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Max</w:t>
            </w:r>
            <w:proofErr w:type="spellEnd"/>
            <w:r w:rsidRPr="00FF3FF4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4</w:t>
            </w:r>
            <w:r w:rsidRPr="00FF3FF4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 xml:space="preserve"> punti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FF4" w:rsidRPr="00F429FC" w:rsidRDefault="00FF3FF4" w:rsidP="00FF3FF4">
            <w:pPr>
              <w:spacing w:after="12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it-IT"/>
              </w:rPr>
              <w:t>QL</w:t>
            </w:r>
          </w:p>
        </w:tc>
      </w:tr>
    </w:tbl>
    <w:p w:rsidR="00644F17" w:rsidRDefault="00364700" w:rsidP="00676E75"/>
    <w:sectPr w:rsidR="00644F17" w:rsidSect="00EA070A">
      <w:footerReference w:type="even" r:id="rId8"/>
      <w:footerReference w:type="default" r:id="rId9"/>
      <w:pgSz w:w="11907" w:h="16840" w:code="9"/>
      <w:pgMar w:top="284" w:right="1417" w:bottom="720" w:left="1134" w:header="964" w:footer="69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C8" w:rsidRDefault="00A17172">
      <w:pPr>
        <w:spacing w:after="0" w:line="240" w:lineRule="auto"/>
      </w:pPr>
      <w:r>
        <w:separator/>
      </w:r>
    </w:p>
  </w:endnote>
  <w:endnote w:type="continuationSeparator" w:id="0">
    <w:p w:rsidR="00237DC8" w:rsidRDefault="00A17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50" w:rsidRDefault="00155BC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A5D50" w:rsidRDefault="0036470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50" w:rsidRDefault="00155BC1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64700">
      <w:rPr>
        <w:noProof/>
      </w:rPr>
      <w:t>2</w:t>
    </w:r>
    <w:r>
      <w:fldChar w:fldCharType="end"/>
    </w:r>
  </w:p>
  <w:p w:rsidR="00CA5D50" w:rsidRPr="00EF2CA2" w:rsidRDefault="00364700" w:rsidP="00C708BA">
    <w:pPr>
      <w:pStyle w:val="Pidipagina"/>
      <w:tabs>
        <w:tab w:val="clear" w:pos="9638"/>
        <w:tab w:val="right" w:pos="7513"/>
      </w:tabs>
      <w:ind w:left="284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C8" w:rsidRDefault="00A17172">
      <w:pPr>
        <w:spacing w:after="0" w:line="240" w:lineRule="auto"/>
      </w:pPr>
      <w:r>
        <w:separator/>
      </w:r>
    </w:p>
  </w:footnote>
  <w:footnote w:type="continuationSeparator" w:id="0">
    <w:p w:rsidR="00237DC8" w:rsidRDefault="00A171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D34E6"/>
    <w:multiLevelType w:val="hybridMultilevel"/>
    <w:tmpl w:val="31CA6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80C7E"/>
    <w:multiLevelType w:val="hybridMultilevel"/>
    <w:tmpl w:val="FB2C600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2C3CF4"/>
    <w:multiLevelType w:val="hybridMultilevel"/>
    <w:tmpl w:val="1A6E6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F0878"/>
    <w:multiLevelType w:val="hybridMultilevel"/>
    <w:tmpl w:val="28CEC1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FC"/>
    <w:rsid w:val="0003505A"/>
    <w:rsid w:val="00155BC1"/>
    <w:rsid w:val="00237DC8"/>
    <w:rsid w:val="00297FB6"/>
    <w:rsid w:val="00364700"/>
    <w:rsid w:val="00375F36"/>
    <w:rsid w:val="00433289"/>
    <w:rsid w:val="004865B4"/>
    <w:rsid w:val="005E232F"/>
    <w:rsid w:val="0067469F"/>
    <w:rsid w:val="00676E75"/>
    <w:rsid w:val="00790850"/>
    <w:rsid w:val="0082127D"/>
    <w:rsid w:val="008F0526"/>
    <w:rsid w:val="00910613"/>
    <w:rsid w:val="00931647"/>
    <w:rsid w:val="00943918"/>
    <w:rsid w:val="009B79CF"/>
    <w:rsid w:val="00A17172"/>
    <w:rsid w:val="00A9483A"/>
    <w:rsid w:val="00A956C5"/>
    <w:rsid w:val="00AC0217"/>
    <w:rsid w:val="00BA5ED6"/>
    <w:rsid w:val="00BC2592"/>
    <w:rsid w:val="00CA070B"/>
    <w:rsid w:val="00CD307E"/>
    <w:rsid w:val="00D76F41"/>
    <w:rsid w:val="00DB1153"/>
    <w:rsid w:val="00DC477C"/>
    <w:rsid w:val="00EA070A"/>
    <w:rsid w:val="00F429FC"/>
    <w:rsid w:val="00FC749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F42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429FC"/>
  </w:style>
  <w:style w:type="character" w:styleId="Numeropagina">
    <w:name w:val="page number"/>
    <w:rsid w:val="00F429FC"/>
  </w:style>
  <w:style w:type="paragraph" w:styleId="Paragrafoelenco">
    <w:name w:val="List Paragraph"/>
    <w:basedOn w:val="Normale"/>
    <w:uiPriority w:val="34"/>
    <w:qFormat/>
    <w:rsid w:val="00AC02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F42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429FC"/>
  </w:style>
  <w:style w:type="character" w:styleId="Numeropagina">
    <w:name w:val="page number"/>
    <w:rsid w:val="00F429FC"/>
  </w:style>
  <w:style w:type="paragraph" w:styleId="Paragrafoelenco">
    <w:name w:val="List Paragraph"/>
    <w:basedOn w:val="Normale"/>
    <w:uiPriority w:val="34"/>
    <w:qFormat/>
    <w:rsid w:val="00AC0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7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11</cp:revision>
  <dcterms:created xsi:type="dcterms:W3CDTF">2014-12-05T12:01:00Z</dcterms:created>
  <dcterms:modified xsi:type="dcterms:W3CDTF">2015-01-19T09:17:00Z</dcterms:modified>
</cp:coreProperties>
</file>